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76" w:rsidRPr="00540ECB" w:rsidRDefault="00600976" w:rsidP="00540E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28CD">
        <w:rPr>
          <w:b/>
          <w:sz w:val="28"/>
          <w:szCs w:val="28"/>
        </w:rPr>
        <w:t xml:space="preserve">Tunxis SAT </w:t>
      </w:r>
      <w:r w:rsidR="008D2A4F" w:rsidRPr="00F428CD">
        <w:rPr>
          <w:b/>
          <w:sz w:val="28"/>
          <w:szCs w:val="28"/>
        </w:rPr>
        <w:t xml:space="preserve">/ ACT </w:t>
      </w:r>
      <w:r w:rsidR="00540ECB">
        <w:rPr>
          <w:b/>
          <w:sz w:val="28"/>
          <w:szCs w:val="28"/>
        </w:rPr>
        <w:t>/ GED Policy</w:t>
      </w:r>
    </w:p>
    <w:p w:rsidR="00600976" w:rsidRDefault="00864757">
      <w:pPr>
        <w:rPr>
          <w:sz w:val="24"/>
          <w:szCs w:val="24"/>
        </w:rPr>
      </w:pPr>
      <w:r w:rsidRPr="00864757">
        <w:rPr>
          <w:sz w:val="24"/>
          <w:szCs w:val="24"/>
        </w:rPr>
        <w:t>To</w:t>
      </w:r>
      <w:r>
        <w:rPr>
          <w:sz w:val="24"/>
          <w:szCs w:val="24"/>
        </w:rPr>
        <w:t xml:space="preserve"> submit </w:t>
      </w:r>
      <w:r w:rsidR="006259EB" w:rsidRPr="00682D51">
        <w:rPr>
          <w:sz w:val="24"/>
          <w:szCs w:val="24"/>
        </w:rPr>
        <w:t xml:space="preserve">scores for Tunxis course placements, students should complete the </w:t>
      </w:r>
      <w:r w:rsidR="006259EB" w:rsidRPr="00682D51">
        <w:rPr>
          <w:i/>
          <w:sz w:val="24"/>
          <w:szCs w:val="24"/>
        </w:rPr>
        <w:t xml:space="preserve">Application for Exemption from Placement Testing </w:t>
      </w:r>
      <w:r w:rsidR="006259EB" w:rsidRPr="00682D51">
        <w:rPr>
          <w:sz w:val="24"/>
          <w:szCs w:val="24"/>
        </w:rPr>
        <w:t xml:space="preserve">form.  Documentation </w:t>
      </w:r>
      <w:r w:rsidR="00E37C68" w:rsidRPr="00682D51">
        <w:rPr>
          <w:sz w:val="24"/>
          <w:szCs w:val="24"/>
        </w:rPr>
        <w:t xml:space="preserve">of SAT </w:t>
      </w:r>
      <w:r w:rsidR="008D2A4F" w:rsidRPr="00682D51">
        <w:rPr>
          <w:sz w:val="24"/>
          <w:szCs w:val="24"/>
        </w:rPr>
        <w:t xml:space="preserve">or ACT </w:t>
      </w:r>
      <w:r w:rsidR="00E37C68" w:rsidRPr="00682D51">
        <w:rPr>
          <w:sz w:val="24"/>
          <w:szCs w:val="24"/>
        </w:rPr>
        <w:t xml:space="preserve">scores and test date </w:t>
      </w:r>
      <w:r w:rsidR="00F31612" w:rsidRPr="00682D51">
        <w:rPr>
          <w:sz w:val="24"/>
          <w:szCs w:val="24"/>
        </w:rPr>
        <w:t xml:space="preserve">must also be submitted </w:t>
      </w:r>
      <w:r w:rsidR="00E37C68" w:rsidRPr="00682D51">
        <w:rPr>
          <w:sz w:val="24"/>
          <w:szCs w:val="24"/>
        </w:rPr>
        <w:t>(</w:t>
      </w:r>
      <w:r w:rsidR="00B86DA2" w:rsidRPr="00682D51">
        <w:rPr>
          <w:sz w:val="24"/>
          <w:szCs w:val="24"/>
        </w:rPr>
        <w:t>high school transcript, official score re</w:t>
      </w:r>
      <w:r w:rsidR="008D2A4F" w:rsidRPr="00682D51">
        <w:rPr>
          <w:sz w:val="24"/>
          <w:szCs w:val="24"/>
        </w:rPr>
        <w:t>port</w:t>
      </w:r>
      <w:r w:rsidR="00B86DA2" w:rsidRPr="00682D51">
        <w:rPr>
          <w:sz w:val="24"/>
          <w:szCs w:val="24"/>
        </w:rPr>
        <w:t xml:space="preserve">, or </w:t>
      </w:r>
      <w:r w:rsidR="00AA6104" w:rsidRPr="00682D51">
        <w:rPr>
          <w:sz w:val="24"/>
          <w:szCs w:val="24"/>
        </w:rPr>
        <w:t xml:space="preserve">unofficial </w:t>
      </w:r>
      <w:r w:rsidR="00B86DA2" w:rsidRPr="00682D51">
        <w:rPr>
          <w:sz w:val="24"/>
          <w:szCs w:val="24"/>
        </w:rPr>
        <w:t xml:space="preserve">score report printed from </w:t>
      </w:r>
      <w:r w:rsidR="00AB7343" w:rsidRPr="00682D51">
        <w:rPr>
          <w:sz w:val="24"/>
          <w:szCs w:val="24"/>
        </w:rPr>
        <w:t>test</w:t>
      </w:r>
      <w:r w:rsidR="008D2A4F" w:rsidRPr="00682D51">
        <w:rPr>
          <w:sz w:val="24"/>
          <w:szCs w:val="24"/>
        </w:rPr>
        <w:t xml:space="preserve"> </w:t>
      </w:r>
      <w:r w:rsidR="00B86DA2" w:rsidRPr="00682D51">
        <w:rPr>
          <w:sz w:val="24"/>
          <w:szCs w:val="24"/>
        </w:rPr>
        <w:t>web site)</w:t>
      </w:r>
      <w:r w:rsidR="006259EB" w:rsidRPr="00682D51">
        <w:rPr>
          <w:sz w:val="24"/>
          <w:szCs w:val="24"/>
        </w:rPr>
        <w:t>.</w:t>
      </w:r>
      <w:r w:rsidR="005F2D8D" w:rsidRPr="00682D51">
        <w:rPr>
          <w:sz w:val="24"/>
          <w:szCs w:val="24"/>
        </w:rPr>
        <w:t xml:space="preserve">  </w:t>
      </w:r>
      <w:r w:rsidRPr="00864757">
        <w:rPr>
          <w:sz w:val="24"/>
          <w:szCs w:val="24"/>
        </w:rPr>
        <w:t>SAT and ACT t</w:t>
      </w:r>
      <w:r w:rsidR="008D2A4F" w:rsidRPr="00864757">
        <w:rPr>
          <w:sz w:val="24"/>
          <w:szCs w:val="24"/>
        </w:rPr>
        <w:t>est</w:t>
      </w:r>
      <w:r w:rsidR="005F2D8D" w:rsidRPr="00864757">
        <w:rPr>
          <w:sz w:val="24"/>
          <w:szCs w:val="24"/>
        </w:rPr>
        <w:t xml:space="preserve"> scores </w:t>
      </w:r>
      <w:r>
        <w:rPr>
          <w:sz w:val="24"/>
          <w:szCs w:val="24"/>
        </w:rPr>
        <w:t>must</w:t>
      </w:r>
      <w:r w:rsidR="00313914">
        <w:rPr>
          <w:sz w:val="24"/>
          <w:szCs w:val="24"/>
        </w:rPr>
        <w:t xml:space="preserve"> be no more than 3</w:t>
      </w:r>
      <w:r w:rsidR="00F334C1" w:rsidRPr="00864757">
        <w:rPr>
          <w:sz w:val="24"/>
          <w:szCs w:val="24"/>
        </w:rPr>
        <w:t xml:space="preserve"> years old</w:t>
      </w:r>
      <w:r w:rsidR="008231D1" w:rsidRPr="00864757">
        <w:rPr>
          <w:sz w:val="24"/>
          <w:szCs w:val="24"/>
        </w:rPr>
        <w:t>.</w:t>
      </w:r>
    </w:p>
    <w:p w:rsidR="00F24566" w:rsidRDefault="00F2456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1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890"/>
        <w:gridCol w:w="1766"/>
        <w:gridCol w:w="3454"/>
      </w:tblGrid>
      <w:tr w:rsidR="00746113" w:rsidTr="00746113">
        <w:trPr>
          <w:trHeight w:val="146"/>
        </w:trPr>
        <w:tc>
          <w:tcPr>
            <w:tcW w:w="2880" w:type="dxa"/>
          </w:tcPr>
          <w:p w:rsidR="00746113" w:rsidRPr="006259EB" w:rsidRDefault="00746113" w:rsidP="00746113">
            <w:pPr>
              <w:tabs>
                <w:tab w:val="center" w:pos="3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SAT Reading </w:t>
            </w:r>
          </w:p>
        </w:tc>
        <w:tc>
          <w:tcPr>
            <w:tcW w:w="1890" w:type="dxa"/>
          </w:tcPr>
          <w:p w:rsidR="00746113" w:rsidRPr="006259EB" w:rsidRDefault="00746113" w:rsidP="00746113">
            <w:pPr>
              <w:tabs>
                <w:tab w:val="center" w:pos="3423"/>
              </w:tabs>
              <w:jc w:val="center"/>
              <w:rPr>
                <w:b/>
              </w:rPr>
            </w:pPr>
            <w:r>
              <w:rPr>
                <w:b/>
              </w:rPr>
              <w:t>ACT English and Reading Combined</w:t>
            </w:r>
          </w:p>
        </w:tc>
        <w:tc>
          <w:tcPr>
            <w:tcW w:w="1766" w:type="dxa"/>
          </w:tcPr>
          <w:p w:rsidR="00746113" w:rsidRDefault="00746113" w:rsidP="00746113">
            <w:pPr>
              <w:jc w:val="center"/>
              <w:rPr>
                <w:b/>
              </w:rPr>
            </w:pPr>
            <w:r>
              <w:rPr>
                <w:b/>
              </w:rPr>
              <w:t>GED</w:t>
            </w:r>
          </w:p>
          <w:p w:rsidR="00746113" w:rsidRPr="004A6CD1" w:rsidRDefault="00746113" w:rsidP="00746113">
            <w:pPr>
              <w:jc w:val="center"/>
              <w:rPr>
                <w:b/>
              </w:rPr>
            </w:pPr>
            <w:r>
              <w:rPr>
                <w:b/>
              </w:rPr>
              <w:t>Reasoning Through Language Arts (RLA)</w:t>
            </w:r>
          </w:p>
        </w:tc>
        <w:tc>
          <w:tcPr>
            <w:tcW w:w="3454" w:type="dxa"/>
          </w:tcPr>
          <w:p w:rsidR="00746113" w:rsidRDefault="00746113" w:rsidP="00746113">
            <w:pPr>
              <w:jc w:val="center"/>
              <w:rPr>
                <w:b/>
              </w:rPr>
            </w:pPr>
            <w:r>
              <w:rPr>
                <w:b/>
              </w:rPr>
              <w:t>Tunxis Placement</w:t>
            </w:r>
          </w:p>
        </w:tc>
      </w:tr>
      <w:tr w:rsidR="00746113" w:rsidTr="00746113">
        <w:trPr>
          <w:trHeight w:val="1114"/>
        </w:trPr>
        <w:tc>
          <w:tcPr>
            <w:tcW w:w="2880" w:type="dxa"/>
          </w:tcPr>
          <w:p w:rsidR="00746113" w:rsidRDefault="00746113" w:rsidP="00746113">
            <w:pPr>
              <w:jc w:val="center"/>
            </w:pPr>
          </w:p>
          <w:p w:rsidR="00746113" w:rsidRDefault="00746113" w:rsidP="00746113">
            <w:pPr>
              <w:jc w:val="center"/>
            </w:pPr>
            <w:r>
              <w:t>25 or higher</w:t>
            </w:r>
          </w:p>
        </w:tc>
        <w:tc>
          <w:tcPr>
            <w:tcW w:w="1890" w:type="dxa"/>
          </w:tcPr>
          <w:p w:rsidR="00746113" w:rsidRDefault="00746113" w:rsidP="00746113">
            <w:pPr>
              <w:jc w:val="center"/>
            </w:pPr>
          </w:p>
          <w:p w:rsidR="00746113" w:rsidRDefault="00746113" w:rsidP="00746113">
            <w:pPr>
              <w:jc w:val="center"/>
            </w:pPr>
            <w:r>
              <w:t>37 or higher</w:t>
            </w:r>
          </w:p>
        </w:tc>
        <w:tc>
          <w:tcPr>
            <w:tcW w:w="1766" w:type="dxa"/>
          </w:tcPr>
          <w:p w:rsidR="00746113" w:rsidRDefault="00746113" w:rsidP="00746113">
            <w:pPr>
              <w:jc w:val="center"/>
            </w:pPr>
          </w:p>
          <w:p w:rsidR="00746113" w:rsidRDefault="00746113" w:rsidP="00746113">
            <w:pPr>
              <w:jc w:val="center"/>
            </w:pPr>
            <w:r>
              <w:t>165 or higher</w:t>
            </w:r>
          </w:p>
        </w:tc>
        <w:tc>
          <w:tcPr>
            <w:tcW w:w="3454" w:type="dxa"/>
          </w:tcPr>
          <w:p w:rsidR="00746113" w:rsidRDefault="00746113" w:rsidP="00746113">
            <w:pPr>
              <w:jc w:val="center"/>
            </w:pPr>
          </w:p>
          <w:p w:rsidR="00746113" w:rsidRDefault="00746113" w:rsidP="00746113">
            <w:pPr>
              <w:jc w:val="center"/>
            </w:pPr>
            <w:r>
              <w:t>ENG-101</w:t>
            </w:r>
          </w:p>
        </w:tc>
      </w:tr>
    </w:tbl>
    <w:p w:rsidR="00600976" w:rsidRPr="00540ECB" w:rsidRDefault="00600976" w:rsidP="00E518A8">
      <w:pPr>
        <w:jc w:val="center"/>
        <w:rPr>
          <w:sz w:val="32"/>
          <w:szCs w:val="32"/>
        </w:rPr>
      </w:pPr>
      <w:r w:rsidRPr="00540ECB">
        <w:rPr>
          <w:sz w:val="32"/>
          <w:szCs w:val="32"/>
        </w:rPr>
        <w:t>ENGLISH</w:t>
      </w:r>
    </w:p>
    <w:p w:rsidR="00F24566" w:rsidRDefault="00F24566" w:rsidP="00E518A8">
      <w:pPr>
        <w:jc w:val="center"/>
        <w:rPr>
          <w:sz w:val="32"/>
          <w:szCs w:val="32"/>
        </w:rPr>
      </w:pPr>
    </w:p>
    <w:p w:rsidR="00746113" w:rsidRDefault="00746113" w:rsidP="00E518A8">
      <w:pPr>
        <w:jc w:val="center"/>
        <w:rPr>
          <w:sz w:val="32"/>
          <w:szCs w:val="32"/>
        </w:rPr>
      </w:pPr>
    </w:p>
    <w:p w:rsidR="00746113" w:rsidRDefault="00746113" w:rsidP="00E518A8">
      <w:pPr>
        <w:jc w:val="center"/>
        <w:rPr>
          <w:sz w:val="32"/>
          <w:szCs w:val="32"/>
        </w:rPr>
      </w:pPr>
    </w:p>
    <w:p w:rsidR="00746113" w:rsidRDefault="00746113" w:rsidP="00E518A8">
      <w:pPr>
        <w:jc w:val="center"/>
        <w:rPr>
          <w:sz w:val="32"/>
          <w:szCs w:val="32"/>
        </w:rPr>
      </w:pPr>
    </w:p>
    <w:p w:rsidR="00746113" w:rsidRDefault="00746113" w:rsidP="00E518A8">
      <w:pPr>
        <w:jc w:val="center"/>
        <w:rPr>
          <w:sz w:val="32"/>
          <w:szCs w:val="32"/>
        </w:rPr>
      </w:pPr>
    </w:p>
    <w:p w:rsidR="00600976" w:rsidRPr="00540ECB" w:rsidRDefault="00600976" w:rsidP="00E518A8">
      <w:pPr>
        <w:jc w:val="center"/>
        <w:rPr>
          <w:sz w:val="32"/>
          <w:szCs w:val="32"/>
        </w:rPr>
      </w:pPr>
      <w:r w:rsidRPr="00540ECB">
        <w:rPr>
          <w:sz w:val="32"/>
          <w:szCs w:val="32"/>
        </w:rPr>
        <w:t>MATH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890"/>
        <w:gridCol w:w="1854"/>
        <w:gridCol w:w="3366"/>
      </w:tblGrid>
      <w:tr w:rsidR="00F24566" w:rsidTr="00746113">
        <w:trPr>
          <w:trHeight w:val="290"/>
        </w:trPr>
        <w:tc>
          <w:tcPr>
            <w:tcW w:w="2790" w:type="dxa"/>
          </w:tcPr>
          <w:p w:rsidR="00F24566" w:rsidRPr="009C33C9" w:rsidRDefault="00F24566" w:rsidP="00F24566">
            <w:pPr>
              <w:jc w:val="center"/>
            </w:pPr>
            <w:r>
              <w:rPr>
                <w:b/>
              </w:rPr>
              <w:t>SAT</w:t>
            </w:r>
            <w:r w:rsidR="00746113">
              <w:rPr>
                <w:b/>
              </w:rPr>
              <w:t xml:space="preserve"> Math</w:t>
            </w:r>
          </w:p>
        </w:tc>
        <w:tc>
          <w:tcPr>
            <w:tcW w:w="1890" w:type="dxa"/>
          </w:tcPr>
          <w:p w:rsidR="00F24566" w:rsidRPr="006259EB" w:rsidRDefault="00F24566" w:rsidP="00F24566">
            <w:pPr>
              <w:jc w:val="center"/>
              <w:rPr>
                <w:b/>
              </w:rPr>
            </w:pPr>
            <w:r>
              <w:rPr>
                <w:b/>
              </w:rPr>
              <w:t>ACT Math</w:t>
            </w:r>
          </w:p>
        </w:tc>
        <w:tc>
          <w:tcPr>
            <w:tcW w:w="1854" w:type="dxa"/>
          </w:tcPr>
          <w:p w:rsidR="00746113" w:rsidRDefault="00746113" w:rsidP="00746113">
            <w:pPr>
              <w:jc w:val="center"/>
              <w:rPr>
                <w:b/>
              </w:rPr>
            </w:pPr>
            <w:r>
              <w:rPr>
                <w:b/>
              </w:rPr>
              <w:t>GED</w:t>
            </w:r>
          </w:p>
          <w:p w:rsidR="00F24566" w:rsidRPr="004A6CD1" w:rsidRDefault="00F24566" w:rsidP="00AA6104">
            <w:pPr>
              <w:rPr>
                <w:b/>
              </w:rPr>
            </w:pPr>
            <w:r>
              <w:rPr>
                <w:b/>
              </w:rPr>
              <w:t>Mathematical Reasoning (MR)</w:t>
            </w:r>
          </w:p>
        </w:tc>
        <w:tc>
          <w:tcPr>
            <w:tcW w:w="3366" w:type="dxa"/>
          </w:tcPr>
          <w:p w:rsidR="00F24566" w:rsidRDefault="00F24566" w:rsidP="00F24566">
            <w:pPr>
              <w:jc w:val="center"/>
              <w:rPr>
                <w:b/>
              </w:rPr>
            </w:pPr>
            <w:r>
              <w:rPr>
                <w:b/>
              </w:rPr>
              <w:t>Tunxis Placement</w:t>
            </w:r>
          </w:p>
        </w:tc>
      </w:tr>
      <w:tr w:rsidR="00F24566" w:rsidTr="00746113">
        <w:trPr>
          <w:trHeight w:val="634"/>
        </w:trPr>
        <w:tc>
          <w:tcPr>
            <w:tcW w:w="2790" w:type="dxa"/>
          </w:tcPr>
          <w:p w:rsidR="00F24566" w:rsidRDefault="00F24566">
            <w:r>
              <w:t xml:space="preserve">480 – 529 </w:t>
            </w:r>
          </w:p>
        </w:tc>
        <w:tc>
          <w:tcPr>
            <w:tcW w:w="1890" w:type="dxa"/>
          </w:tcPr>
          <w:p w:rsidR="00F24566" w:rsidRDefault="00F24566"/>
        </w:tc>
        <w:tc>
          <w:tcPr>
            <w:tcW w:w="1854" w:type="dxa"/>
          </w:tcPr>
          <w:p w:rsidR="00F24566" w:rsidRDefault="00F24566" w:rsidP="00B95B73">
            <w:r>
              <w:t>165 or higher</w:t>
            </w:r>
          </w:p>
        </w:tc>
        <w:tc>
          <w:tcPr>
            <w:tcW w:w="3366" w:type="dxa"/>
          </w:tcPr>
          <w:p w:rsidR="00F24566" w:rsidRDefault="00F24566" w:rsidP="00B95B73">
            <w:r>
              <w:t>MAT-137L   *See note below</w:t>
            </w:r>
          </w:p>
        </w:tc>
      </w:tr>
      <w:tr w:rsidR="00F24566" w:rsidTr="00746113">
        <w:trPr>
          <w:trHeight w:val="548"/>
        </w:trPr>
        <w:tc>
          <w:tcPr>
            <w:tcW w:w="2790" w:type="dxa"/>
          </w:tcPr>
          <w:p w:rsidR="00F24566" w:rsidRDefault="00F24566"/>
          <w:p w:rsidR="00F24566" w:rsidRDefault="00F24566" w:rsidP="00262FBD">
            <w:r>
              <w:t>530 – 569</w:t>
            </w:r>
          </w:p>
        </w:tc>
        <w:tc>
          <w:tcPr>
            <w:tcW w:w="1890" w:type="dxa"/>
          </w:tcPr>
          <w:p w:rsidR="00F24566" w:rsidRDefault="00F24566"/>
          <w:p w:rsidR="00F24566" w:rsidRDefault="00F24566" w:rsidP="00262FBD">
            <w:r>
              <w:t>18 - 21</w:t>
            </w:r>
          </w:p>
        </w:tc>
        <w:tc>
          <w:tcPr>
            <w:tcW w:w="1854" w:type="dxa"/>
          </w:tcPr>
          <w:p w:rsidR="00F24566" w:rsidRDefault="00F24566" w:rsidP="00AA6104"/>
          <w:p w:rsidR="00F24566" w:rsidRDefault="00F24566" w:rsidP="00AA6104">
            <w:r>
              <w:t>165 or higher</w:t>
            </w:r>
          </w:p>
        </w:tc>
        <w:tc>
          <w:tcPr>
            <w:tcW w:w="3366" w:type="dxa"/>
          </w:tcPr>
          <w:p w:rsidR="00F24566" w:rsidRDefault="00F24566" w:rsidP="00AA6104"/>
          <w:p w:rsidR="00F24566" w:rsidRDefault="00F24566" w:rsidP="00AA6104">
            <w:r>
              <w:t>MAT-135, 137, 137L, 139</w:t>
            </w:r>
          </w:p>
        </w:tc>
      </w:tr>
      <w:tr w:rsidR="00F24566" w:rsidTr="00746113">
        <w:trPr>
          <w:trHeight w:val="548"/>
        </w:trPr>
        <w:tc>
          <w:tcPr>
            <w:tcW w:w="2790" w:type="dxa"/>
          </w:tcPr>
          <w:p w:rsidR="00F24566" w:rsidRDefault="00F24566"/>
          <w:p w:rsidR="00F24566" w:rsidRDefault="00F24566" w:rsidP="00262FBD">
            <w:r>
              <w:t>570 – 619</w:t>
            </w:r>
          </w:p>
        </w:tc>
        <w:tc>
          <w:tcPr>
            <w:tcW w:w="1890" w:type="dxa"/>
          </w:tcPr>
          <w:p w:rsidR="00F24566" w:rsidRDefault="00F24566"/>
          <w:p w:rsidR="00F24566" w:rsidRDefault="00F24566" w:rsidP="00262FBD">
            <w:r>
              <w:t>22 - 25</w:t>
            </w:r>
          </w:p>
        </w:tc>
        <w:tc>
          <w:tcPr>
            <w:tcW w:w="1854" w:type="dxa"/>
          </w:tcPr>
          <w:p w:rsidR="00F24566" w:rsidRDefault="00F24566" w:rsidP="00AA6104"/>
        </w:tc>
        <w:tc>
          <w:tcPr>
            <w:tcW w:w="3366" w:type="dxa"/>
          </w:tcPr>
          <w:p w:rsidR="00F24566" w:rsidRDefault="00F24566" w:rsidP="00AA6104"/>
          <w:p w:rsidR="00F24566" w:rsidRDefault="00F24566" w:rsidP="00AA6104">
            <w:r>
              <w:t>MAT-141, 146, 152, 165</w:t>
            </w:r>
          </w:p>
        </w:tc>
      </w:tr>
      <w:tr w:rsidR="00F24566" w:rsidTr="00746113">
        <w:trPr>
          <w:trHeight w:val="54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6" w:rsidRDefault="00F24566"/>
          <w:p w:rsidR="00F24566" w:rsidRDefault="00F24566" w:rsidP="00262FBD">
            <w:r>
              <w:t>620 - 669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6" w:rsidRDefault="00F24566"/>
          <w:p w:rsidR="00F24566" w:rsidRDefault="00F24566" w:rsidP="00262FBD">
            <w:r>
              <w:t>26 - 28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6" w:rsidRDefault="00F24566" w:rsidP="00AA6104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6" w:rsidRDefault="00F24566" w:rsidP="00AA6104"/>
          <w:p w:rsidR="00F24566" w:rsidRDefault="00F24566" w:rsidP="00AA6104">
            <w:r>
              <w:t>MAT-172 or 190</w:t>
            </w:r>
          </w:p>
        </w:tc>
      </w:tr>
      <w:tr w:rsidR="00F24566" w:rsidRPr="00F428CD" w:rsidTr="00746113">
        <w:trPr>
          <w:trHeight w:val="54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6" w:rsidRPr="00F428CD" w:rsidRDefault="00F24566"/>
          <w:p w:rsidR="00F24566" w:rsidRPr="00F428CD" w:rsidRDefault="00F24566" w:rsidP="00262FBD">
            <w:r w:rsidRPr="00F428CD">
              <w:t>670 or higher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6" w:rsidRPr="00F428CD" w:rsidRDefault="00F24566"/>
          <w:p w:rsidR="00F24566" w:rsidRPr="00F428CD" w:rsidRDefault="00F24566" w:rsidP="00262FBD">
            <w:r w:rsidRPr="00F428CD">
              <w:t>29 or higher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6" w:rsidRPr="00F428CD" w:rsidRDefault="00F24566" w:rsidP="00AA6104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66" w:rsidRDefault="00F24566" w:rsidP="00AA6104"/>
          <w:p w:rsidR="00F24566" w:rsidRPr="00F428CD" w:rsidRDefault="00F24566" w:rsidP="00AA6104">
            <w:r>
              <w:t>MAT-186</w:t>
            </w:r>
          </w:p>
        </w:tc>
      </w:tr>
    </w:tbl>
    <w:p w:rsidR="00600976" w:rsidRPr="00313914" w:rsidRDefault="00600976" w:rsidP="009D4814">
      <w:pPr>
        <w:rPr>
          <w:rFonts w:ascii="Times New Roman" w:eastAsia="Times New Roman" w:hAnsi="Times New Roman"/>
          <w:color w:val="000000" w:themeColor="text1"/>
          <w:sz w:val="20"/>
          <w:szCs w:val="20"/>
          <w:lang w:bidi="x-none"/>
        </w:rPr>
      </w:pPr>
    </w:p>
    <w:sectPr w:rsidR="00600976" w:rsidRPr="00313914" w:rsidSect="00682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72" w:rsidRDefault="002C2B72" w:rsidP="00F84967">
      <w:pPr>
        <w:spacing w:after="0" w:line="240" w:lineRule="auto"/>
      </w:pPr>
      <w:r>
        <w:separator/>
      </w:r>
    </w:p>
  </w:endnote>
  <w:endnote w:type="continuationSeparator" w:id="0">
    <w:p w:rsidR="002C2B72" w:rsidRDefault="002C2B72" w:rsidP="00F8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72" w:rsidRDefault="002C2B72" w:rsidP="00F84967">
      <w:pPr>
        <w:spacing w:after="0" w:line="240" w:lineRule="auto"/>
      </w:pPr>
      <w:r>
        <w:separator/>
      </w:r>
    </w:p>
  </w:footnote>
  <w:footnote w:type="continuationSeparator" w:id="0">
    <w:p w:rsidR="002C2B72" w:rsidRDefault="002C2B72" w:rsidP="00F8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34589"/>
    <w:multiLevelType w:val="hybridMultilevel"/>
    <w:tmpl w:val="23CA4F06"/>
    <w:lvl w:ilvl="0" w:tplc="47C48252">
      <w:start w:val="4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76"/>
    <w:rsid w:val="000474A2"/>
    <w:rsid w:val="000475F6"/>
    <w:rsid w:val="000548C0"/>
    <w:rsid w:val="00183F78"/>
    <w:rsid w:val="001B2CE6"/>
    <w:rsid w:val="001D43C3"/>
    <w:rsid w:val="00262FBD"/>
    <w:rsid w:val="002733CC"/>
    <w:rsid w:val="00294C89"/>
    <w:rsid w:val="002C2B72"/>
    <w:rsid w:val="00313914"/>
    <w:rsid w:val="00322525"/>
    <w:rsid w:val="0036620F"/>
    <w:rsid w:val="003B0042"/>
    <w:rsid w:val="003D65C7"/>
    <w:rsid w:val="003E6BFC"/>
    <w:rsid w:val="004811A4"/>
    <w:rsid w:val="004A6CD1"/>
    <w:rsid w:val="00540ECB"/>
    <w:rsid w:val="005D16D7"/>
    <w:rsid w:val="005F2D8D"/>
    <w:rsid w:val="00600976"/>
    <w:rsid w:val="00612545"/>
    <w:rsid w:val="006259EB"/>
    <w:rsid w:val="00682D51"/>
    <w:rsid w:val="006D2CFF"/>
    <w:rsid w:val="00746113"/>
    <w:rsid w:val="007476E5"/>
    <w:rsid w:val="007857B6"/>
    <w:rsid w:val="008231D1"/>
    <w:rsid w:val="00823BB6"/>
    <w:rsid w:val="00864757"/>
    <w:rsid w:val="008A7CCE"/>
    <w:rsid w:val="008D2A4F"/>
    <w:rsid w:val="009A5756"/>
    <w:rsid w:val="009C33C9"/>
    <w:rsid w:val="009D4814"/>
    <w:rsid w:val="00AA4845"/>
    <w:rsid w:val="00AA6104"/>
    <w:rsid w:val="00AA73B3"/>
    <w:rsid w:val="00AB7343"/>
    <w:rsid w:val="00B105E5"/>
    <w:rsid w:val="00B86DA2"/>
    <w:rsid w:val="00B95B73"/>
    <w:rsid w:val="00C80EFB"/>
    <w:rsid w:val="00CF6748"/>
    <w:rsid w:val="00D83179"/>
    <w:rsid w:val="00DA3A67"/>
    <w:rsid w:val="00E37C68"/>
    <w:rsid w:val="00E518A8"/>
    <w:rsid w:val="00E969AE"/>
    <w:rsid w:val="00F24566"/>
    <w:rsid w:val="00F31612"/>
    <w:rsid w:val="00F334C1"/>
    <w:rsid w:val="00F428CD"/>
    <w:rsid w:val="00F7325C"/>
    <w:rsid w:val="00F76465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75485-BB02-4C24-AD43-446C876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67"/>
  </w:style>
  <w:style w:type="paragraph" w:styleId="Footer">
    <w:name w:val="footer"/>
    <w:basedOn w:val="Normal"/>
    <w:link w:val="FooterChar"/>
    <w:uiPriority w:val="99"/>
    <w:unhideWhenUsed/>
    <w:rsid w:val="00F8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67"/>
  </w:style>
  <w:style w:type="paragraph" w:styleId="ListParagraph">
    <w:name w:val="List Paragraph"/>
    <w:basedOn w:val="Normal"/>
    <w:uiPriority w:val="34"/>
    <w:qFormat/>
    <w:rsid w:val="009D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C991-AC10-4806-A014-AC8254C7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Tunxis Community College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Pelton, Garth S</dc:creator>
  <cp:lastModifiedBy>Pelton, Garth S</cp:lastModifiedBy>
  <cp:revision>2</cp:revision>
  <cp:lastPrinted>2018-03-28T16:57:00Z</cp:lastPrinted>
  <dcterms:created xsi:type="dcterms:W3CDTF">2018-10-02T15:12:00Z</dcterms:created>
  <dcterms:modified xsi:type="dcterms:W3CDTF">2018-10-02T15:12:00Z</dcterms:modified>
</cp:coreProperties>
</file>